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spacing w:after="0" w:line="360" w:lineRule="auto"/>
        <w:ind w:left="5103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Приложение № 10</w:t>
      </w:r>
    </w:p>
    <w:p>
      <w:pPr>
        <w:spacing w:after="0" w:line="240" w:lineRule="auto"/>
        <w:ind w:left="5103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УТВЕРЖДЕНО</w:t>
      </w:r>
    </w:p>
    <w:p>
      <w:pPr>
        <w:spacing w:after="0" w:line="240" w:lineRule="auto"/>
        <w:ind w:left="5103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распоряжением </w:t>
      </w:r>
    </w:p>
    <w:p>
      <w:pPr>
        <w:spacing w:after="0" w:line="240" w:lineRule="auto"/>
        <w:ind w:left="5103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Администрации Тазовского района</w:t>
      </w:r>
    </w:p>
    <w:p>
      <w:pPr>
        <w:spacing w:after="0" w:line="240" w:lineRule="auto"/>
        <w:ind w:left="5103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от 11 февраля 2021 года № 26-р</w:t>
      </w:r>
      <w:bookmarkStart w:id="0" w:name="_GoBack"/>
      <w:bookmarkEnd w:id="0"/>
    </w:p>
    <w:p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>ПОЛОЖЕНИЕ</w:t>
      </w:r>
    </w:p>
    <w:p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>о секторе дошкольного образования отдела общего,</w:t>
      </w:r>
    </w:p>
    <w:p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>дошкольного образования управления общего, дошкольного, дополнительного образования департамента образования</w:t>
      </w:r>
    </w:p>
    <w:p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>Администрации Тазовского района</w:t>
      </w:r>
    </w:p>
    <w:p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>Общие положения</w:t>
      </w:r>
    </w:p>
    <w:p>
      <w:pPr>
        <w:tabs>
          <w:tab w:val="left" w:pos="426"/>
        </w:tabs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>
      <w:pPr>
        <w:numPr>
          <w:ilvl w:val="1"/>
          <w:numId w:val="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Сектор дошкольного образования отдела общего, дошкольного, образования управления общего, дошкольного, дополнительного образования департамента образования Администрации Тазовского района (далее - сектор) является структурным подразделением отдела общего, дошкольного образования управления общего, дошкольного, дополнительного образования департамента образования Администрации Тазовского района                                       (далее – Департамент).</w:t>
      </w:r>
    </w:p>
    <w:p>
      <w:pPr>
        <w:numPr>
          <w:ilvl w:val="1"/>
          <w:numId w:val="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Сектор в своей деятельности руководствуется Конституцией Российской Федерации, федеральными конституционными законами, федеральными законами, указами и распоряжениями Президента Российской Федерации, международными договорами Российской Федерации, нормативными правовыми актами федеральных органов исполнительной власти, Уставом (Основным законом) Ямало-Ненецкого автономного округа (далее - автономный округ), законами автономного округа, постановлениями                          и распоряжениями Губернатора автономного округа и Правительства автономного округа, Уставом муниципального округа Тазовский район                    Ямало-Ненецкого автономного округа (далее - муниципальный округ), решениями Думы Тазовского района, постановлениями и распоряжениями Главы Тазовского района, Администрации Тазовского района и настоящим Положением.</w:t>
      </w:r>
    </w:p>
    <w:p>
      <w:pPr>
        <w:tabs>
          <w:tab w:val="left" w:pos="1418"/>
        </w:tabs>
        <w:spacing w:after="0" w:line="240" w:lineRule="auto"/>
        <w:ind w:left="709"/>
        <w:jc w:val="both"/>
        <w:rPr>
          <w:rFonts w:ascii="PT Astra Serif" w:hAnsi="PT Astra Serif"/>
          <w:sz w:val="28"/>
          <w:szCs w:val="28"/>
        </w:rPr>
      </w:pPr>
    </w:p>
    <w:p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0"/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>Муниципальные функции</w:t>
      </w:r>
    </w:p>
    <w:p>
      <w:pPr>
        <w:tabs>
          <w:tab w:val="left" w:pos="567"/>
        </w:tabs>
        <w:spacing w:after="0" w:line="240" w:lineRule="auto"/>
        <w:rPr>
          <w:rFonts w:ascii="PT Astra Serif" w:hAnsi="PT Astra Serif"/>
          <w:b/>
          <w:sz w:val="28"/>
          <w:szCs w:val="28"/>
        </w:rPr>
      </w:pPr>
    </w:p>
    <w:p>
      <w:pPr>
        <w:numPr>
          <w:ilvl w:val="1"/>
          <w:numId w:val="1"/>
        </w:numPr>
        <w:tabs>
          <w:tab w:val="left" w:pos="1418"/>
        </w:tabs>
        <w:spacing w:after="0" w:line="240" w:lineRule="auto"/>
        <w:ind w:left="0" w:firstLine="709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Сектор осуществляет следующие муниципальные функции:</w:t>
      </w:r>
    </w:p>
    <w:p>
      <w:pPr>
        <w:numPr>
          <w:ilvl w:val="2"/>
          <w:numId w:val="1"/>
        </w:numPr>
        <w:tabs>
          <w:tab w:val="left" w:pos="1701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реализация отдельных государственных полномочий автономного округа в сфере дошкольного образования:</w:t>
      </w:r>
    </w:p>
    <w:p>
      <w:pPr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lastRenderedPageBreak/>
        <w:t>предоставление компенсации родителям (законным представителям) детей, посещающих образовательные организации, реализующие образовательную программу дошкольного образования в соответствии                      со статьей 1 Закона автономного округа от 06 ноября 2009 года № 83-ЗАО                           «О наделении органов местного самоуправления отдельными государственными полномочиями Ямало-Ненецкого автономного округа                      по предоставлению компенсации родителям (законным представителям) детей, посещающих образовательные организации, реализующие образовательную программу дошкольного образования»;</w:t>
      </w:r>
    </w:p>
    <w:p>
      <w:pPr>
        <w:numPr>
          <w:ilvl w:val="0"/>
          <w:numId w:val="8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предоставление ежемесячной компенсационной выплаты одному из родителей (законному представителю), имеющему гражданство Российской Федерации, постоянно проживающему на территории автономного округа                      и воспитывающему ребенка в возрасте от полутора до пяти лет, который                     не посещает образовательную организацию, реализующую образовательную программу дошкольного образования, в автономном округе, в соответствии                       со статьей 1 Закона автономного округа от 06 декабря 2012 года  № 131-ЗАО «О наделении органов местного самоуправления муниципальных образований                         в Ямало-Ненецком автономном округе отдельными государственными полномочиями Ямало-Ненецкого округа по предоставлению ежемесячной компенсационной выплаты одному из родителей (законному представителю)                      на ребенка, не посещающего образовательную организацию, реализующую образовательную программу дошкольного образования, в автономном округе»;</w:t>
      </w:r>
    </w:p>
    <w:p>
      <w:pPr>
        <w:numPr>
          <w:ilvl w:val="2"/>
          <w:numId w:val="1"/>
        </w:numPr>
        <w:tabs>
          <w:tab w:val="left" w:pos="1560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в части организации предоставления общедоступного                                 и бесплатного дошкольного образования:</w:t>
      </w:r>
    </w:p>
    <w:p>
      <w:pPr>
        <w:numPr>
          <w:ilvl w:val="0"/>
          <w:numId w:val="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осуществляет учёт детей, подлежащих обучению по образовательным программам дошкольного образования;</w:t>
      </w:r>
    </w:p>
    <w:p>
      <w:pPr>
        <w:numPr>
          <w:ilvl w:val="0"/>
          <w:numId w:val="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контролирует подведомственные организации в части осуществления ими содержания, присмотра и ухода за детьми;</w:t>
      </w:r>
    </w:p>
    <w:p>
      <w:pPr>
        <w:numPr>
          <w:ilvl w:val="0"/>
          <w:numId w:val="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организует работу по закреплению подведомственных организаций за конкретными территориями муниципального округа;</w:t>
      </w:r>
    </w:p>
    <w:p>
      <w:pPr>
        <w:numPr>
          <w:ilvl w:val="0"/>
          <w:numId w:val="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обеспечивает перевод воспитанников с согласия их родителей (законных представителей) в другие организации, осуществляющие образовательную деятельность по образовательным программам дошкольного образования, в том числе в случае прекращения деятельности подведомственной организации, аннулирования соответствующей лицензии;</w:t>
      </w:r>
    </w:p>
    <w:p>
      <w:pPr>
        <w:numPr>
          <w:ilvl w:val="0"/>
          <w:numId w:val="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координирует управленческую деятельность подведомственных организаций по обеспечению:</w:t>
      </w:r>
    </w:p>
    <w:p>
      <w:pPr>
        <w:numPr>
          <w:ilvl w:val="0"/>
          <w:numId w:val="5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государственных гарантий и прав граждан в области дошкольного образования;</w:t>
      </w:r>
    </w:p>
    <w:p>
      <w:pPr>
        <w:numPr>
          <w:ilvl w:val="0"/>
          <w:numId w:val="5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введения и реализации федеральных государственных образовательных стандартов дошкольного образования;</w:t>
      </w:r>
    </w:p>
    <w:p>
      <w:pPr>
        <w:numPr>
          <w:ilvl w:val="0"/>
          <w:numId w:val="5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качества образования в соответствии с федеральными государственными образовательными стандартами дошкольного образования; </w:t>
      </w:r>
    </w:p>
    <w:p>
      <w:pPr>
        <w:numPr>
          <w:ilvl w:val="0"/>
          <w:numId w:val="5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lastRenderedPageBreak/>
        <w:t>создания необходимых условий для получения без дискриминации качественного дошкольного образования лицами с ограниченными возможностями здоровья;</w:t>
      </w:r>
    </w:p>
    <w:p>
      <w:pPr>
        <w:numPr>
          <w:ilvl w:val="0"/>
          <w:numId w:val="5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комплектования групп различной направленности </w:t>
      </w:r>
      <w:r>
        <w:rPr>
          <w:rFonts w:ascii="PT Astra Serif" w:hAnsi="PT Astra Serif"/>
          <w:spacing w:val="-20"/>
          <w:sz w:val="28"/>
          <w:szCs w:val="28"/>
        </w:rPr>
        <w:t>(общеразвивающих</w:t>
      </w:r>
      <w:r>
        <w:rPr>
          <w:rFonts w:ascii="PT Astra Serif" w:hAnsi="PT Astra Serif"/>
          <w:sz w:val="28"/>
          <w:szCs w:val="28"/>
        </w:rPr>
        <w:t>, комбинированных, компенсирующих, оздоровительных);</w:t>
      </w:r>
    </w:p>
    <w:p>
      <w:pPr>
        <w:numPr>
          <w:ilvl w:val="0"/>
          <w:numId w:val="5"/>
        </w:numPr>
        <w:tabs>
          <w:tab w:val="left" w:pos="709"/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методической, диагностической и консультативной помощи семьям, воспитывающим детей дошкольного возраста на дому;</w:t>
      </w:r>
    </w:p>
    <w:p>
      <w:pPr>
        <w:numPr>
          <w:ilvl w:val="0"/>
          <w:numId w:val="5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участия в районных мероприятиях;</w:t>
      </w:r>
    </w:p>
    <w:p>
      <w:pPr>
        <w:numPr>
          <w:ilvl w:val="0"/>
          <w:numId w:val="5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подготовки к новому учебному году;</w:t>
      </w:r>
    </w:p>
    <w:p>
      <w:pPr>
        <w:numPr>
          <w:ilvl w:val="2"/>
          <w:numId w:val="1"/>
        </w:numPr>
        <w:tabs>
          <w:tab w:val="left" w:pos="1560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формирует базу данных о детях дошкольного возраста, получивших места в подведомственных организациях;</w:t>
      </w:r>
    </w:p>
    <w:p>
      <w:pPr>
        <w:numPr>
          <w:ilvl w:val="2"/>
          <w:numId w:val="1"/>
        </w:numPr>
        <w:tabs>
          <w:tab w:val="left" w:pos="1560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осуществляет в пределах компетенции сектора:</w:t>
      </w:r>
    </w:p>
    <w:p>
      <w:pPr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контроль видов деятельности, предусмотренных уставами подведомственных организаций;</w:t>
      </w:r>
    </w:p>
    <w:p>
      <w:pPr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формирование муниципального задания подведомственных организаций в части объёмных и качественных показателей, а также контроль его выполнения;</w:t>
      </w:r>
    </w:p>
    <w:p>
      <w:pPr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согласование программ развития подведомственных организаций;</w:t>
      </w:r>
    </w:p>
    <w:p>
      <w:pPr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согласование уставов подведомственных организаций;</w:t>
      </w:r>
    </w:p>
    <w:p>
      <w:pPr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анализ работы подведомственных организаций по размещению итоговых отчётов в сети «Интернет» на официальных сайтах органов исполнительной власти;</w:t>
      </w:r>
    </w:p>
    <w:p>
      <w:pPr>
        <w:numPr>
          <w:ilvl w:val="0"/>
          <w:numId w:val="6"/>
        </w:numPr>
        <w:tabs>
          <w:tab w:val="left" w:pos="709"/>
          <w:tab w:val="left" w:pos="1134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 учебные планы, анализ учебных планов, календарных учебных графиков, расписаний непосредственной образовательной деятельности;</w:t>
      </w:r>
    </w:p>
    <w:p>
      <w:pPr>
        <w:numPr>
          <w:ilvl w:val="2"/>
          <w:numId w:val="1"/>
        </w:numPr>
        <w:tabs>
          <w:tab w:val="left" w:pos="0"/>
          <w:tab w:val="left" w:pos="1560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планирует сеть и контингент подведомственных организаций с учётом образовательных запросов населения муниципального образования;</w:t>
      </w:r>
    </w:p>
    <w:p>
      <w:pPr>
        <w:numPr>
          <w:ilvl w:val="2"/>
          <w:numId w:val="1"/>
        </w:numPr>
        <w:tabs>
          <w:tab w:val="left" w:pos="0"/>
          <w:tab w:val="left" w:pos="1560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участвует в предоставлении муниципальных услуг в сфере образования в рамках своих полномочий:</w:t>
      </w:r>
    </w:p>
    <w:p>
      <w:pPr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  <w:lang w:eastAsia="ar-SA"/>
        </w:rPr>
      </w:pPr>
      <w:r>
        <w:rPr>
          <w:rFonts w:ascii="PT Astra Serif" w:hAnsi="PT Astra Serif"/>
          <w:sz w:val="28"/>
          <w:szCs w:val="28"/>
          <w:lang w:eastAsia="ar-SA"/>
        </w:rPr>
        <w:t>приём заявлений, постановка на учёт и зачисление детей в образовательные организации, реализующие основную образовательную программу дошкольного образования  (детские сады);</w:t>
      </w:r>
    </w:p>
    <w:p>
      <w:pPr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  <w:lang w:eastAsia="ar-SA"/>
        </w:rPr>
      </w:pPr>
      <w:r>
        <w:rPr>
          <w:rFonts w:ascii="PT Astra Serif" w:hAnsi="PT Astra Serif"/>
          <w:sz w:val="28"/>
          <w:szCs w:val="28"/>
          <w:lang w:eastAsia="ar-SA"/>
        </w:rPr>
        <w:t>предоставление информации об организации общедоступного бесплатного дошкольного  в образовательных организациях, расположенных                  на территории муниципального образования;</w:t>
      </w:r>
    </w:p>
    <w:p>
      <w:pPr>
        <w:numPr>
          <w:ilvl w:val="2"/>
          <w:numId w:val="1"/>
        </w:numPr>
        <w:tabs>
          <w:tab w:val="left" w:pos="1560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  <w:lang w:eastAsia="ar-SA"/>
        </w:rPr>
      </w:pPr>
      <w:r>
        <w:rPr>
          <w:rFonts w:ascii="PT Astra Serif" w:hAnsi="PT Astra Serif"/>
          <w:sz w:val="28"/>
          <w:szCs w:val="28"/>
        </w:rPr>
        <w:t>оказывает помощь родителям (законным представителям) несовершеннолетних воспитанников в воспитании детей, развитии их индивидуальных способностей в пределах компетенции сектора;</w:t>
      </w:r>
    </w:p>
    <w:p>
      <w:pPr>
        <w:numPr>
          <w:ilvl w:val="2"/>
          <w:numId w:val="1"/>
        </w:numPr>
        <w:tabs>
          <w:tab w:val="left" w:pos="1560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  <w:lang w:eastAsia="ar-SA"/>
        </w:rPr>
      </w:pPr>
      <w:r>
        <w:rPr>
          <w:rFonts w:ascii="PT Astra Serif" w:hAnsi="PT Astra Serif"/>
          <w:sz w:val="28"/>
          <w:szCs w:val="28"/>
        </w:rPr>
        <w:t>курирует вопросы предоставления вариативных форм дошкольного образования подведомственными организациями;</w:t>
      </w:r>
    </w:p>
    <w:p>
      <w:pPr>
        <w:numPr>
          <w:ilvl w:val="2"/>
          <w:numId w:val="1"/>
        </w:numPr>
        <w:tabs>
          <w:tab w:val="left" w:pos="1701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взаимодействует:</w:t>
      </w:r>
    </w:p>
    <w:p>
      <w:pPr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с отраслевыми (функциональными) органами Администрации                      по вопросам дошкольного образования;</w:t>
      </w:r>
    </w:p>
    <w:p>
      <w:pPr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с учреждениями дошкольного образования;</w:t>
      </w:r>
    </w:p>
    <w:p>
      <w:pPr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lastRenderedPageBreak/>
        <w:t>с учреждениями муниципального образования по вопросам соблюдения прав детей, охраны их жизни и укрепления здоровья, профилактики нарушений законных прав и интересов воспитанников.</w:t>
      </w:r>
    </w:p>
    <w:p>
      <w:pPr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с управлением государственного контроля (надзора) в области образования департамента образования автономного округа по вопросам лицензирования и аккредитации подведомственных организаций;</w:t>
      </w:r>
    </w:p>
    <w:p>
      <w:pPr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со средствами массовой информации по вопросам освещения достижений подведомственных организаций;</w:t>
      </w:r>
    </w:p>
    <w:p>
      <w:pPr>
        <w:numPr>
          <w:ilvl w:val="2"/>
          <w:numId w:val="1"/>
        </w:numPr>
        <w:tabs>
          <w:tab w:val="left" w:pos="1701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готовит в пределах компетенции сектора:</w:t>
      </w:r>
    </w:p>
    <w:p>
      <w:pPr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раздел годового плана работы Департамента;</w:t>
      </w:r>
    </w:p>
    <w:p>
      <w:pPr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годовой аналитический отчёт об итогах работы Департамента;</w:t>
      </w:r>
    </w:p>
    <w:p>
      <w:pPr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проекты приказов, инструкций, правил, методических рекомендаций, информационных писем;</w:t>
      </w:r>
    </w:p>
    <w:p>
      <w:pPr>
        <w:numPr>
          <w:ilvl w:val="2"/>
          <w:numId w:val="1"/>
        </w:numPr>
        <w:tabs>
          <w:tab w:val="left" w:pos="0"/>
          <w:tab w:val="left" w:pos="1701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рассматривает в установленном порядке обращения, заявления и жалобы граждан по вопросам образовательной деятельности подведомственных организаций;</w:t>
      </w:r>
    </w:p>
    <w:p>
      <w:pPr>
        <w:numPr>
          <w:ilvl w:val="2"/>
          <w:numId w:val="1"/>
        </w:numPr>
        <w:tabs>
          <w:tab w:val="left" w:pos="0"/>
          <w:tab w:val="left" w:pos="1701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организует работу по обеспечению безопасности персональных данных при их обработке в информационных системах персональных данных в секторе;</w:t>
      </w:r>
    </w:p>
    <w:p>
      <w:pPr>
        <w:numPr>
          <w:ilvl w:val="2"/>
          <w:numId w:val="1"/>
        </w:numPr>
        <w:tabs>
          <w:tab w:val="left" w:pos="0"/>
          <w:tab w:val="left" w:pos="1701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участвует в разработке и реализации муниципальных программ в части дошкольного образования;</w:t>
      </w:r>
    </w:p>
    <w:p>
      <w:pPr>
        <w:numPr>
          <w:ilvl w:val="2"/>
          <w:numId w:val="1"/>
        </w:numPr>
        <w:tabs>
          <w:tab w:val="left" w:pos="0"/>
          <w:tab w:val="left" w:pos="1701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участвует в формировании муниципального задания подведомственных организаций и контролирует его выполнение;</w:t>
      </w:r>
    </w:p>
    <w:p>
      <w:pPr>
        <w:numPr>
          <w:ilvl w:val="2"/>
          <w:numId w:val="1"/>
        </w:numPr>
        <w:tabs>
          <w:tab w:val="left" w:pos="0"/>
          <w:tab w:val="left" w:pos="1701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координирует работу подведомственных организаций по предоставлению муниципальных услуг, в том числе в электронном виде;</w:t>
      </w:r>
    </w:p>
    <w:p>
      <w:pPr>
        <w:numPr>
          <w:ilvl w:val="2"/>
          <w:numId w:val="1"/>
        </w:numPr>
        <w:tabs>
          <w:tab w:val="left" w:pos="0"/>
          <w:tab w:val="left" w:pos="1701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осуществляет мониторинг качества образования в части касающейся деятельности подведомственных организаций;</w:t>
      </w:r>
    </w:p>
    <w:p>
      <w:pPr>
        <w:numPr>
          <w:ilvl w:val="2"/>
          <w:numId w:val="1"/>
        </w:numPr>
        <w:tabs>
          <w:tab w:val="left" w:pos="0"/>
          <w:tab w:val="left" w:pos="1701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осуществляет подготовку предложений по стимулированию детей, проявивших выдающиеся интеллектуальные способности;</w:t>
      </w:r>
    </w:p>
    <w:p>
      <w:pPr>
        <w:numPr>
          <w:ilvl w:val="2"/>
          <w:numId w:val="1"/>
        </w:numPr>
        <w:tabs>
          <w:tab w:val="left" w:pos="0"/>
          <w:tab w:val="left" w:pos="1701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обеспечивает организацию общественного наблюдения при проведении мероприятий, курируемых сектором;</w:t>
      </w:r>
    </w:p>
    <w:p>
      <w:pPr>
        <w:numPr>
          <w:ilvl w:val="2"/>
          <w:numId w:val="1"/>
        </w:numPr>
        <w:tabs>
          <w:tab w:val="left" w:pos="0"/>
          <w:tab w:val="left" w:pos="1701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оказывает помощь родителям (законным представителям) несовершеннолетних воспитанников в воспитании детей, развитии индивидуальных способностей и необходимой коррекции нарушений их развития;</w:t>
      </w:r>
    </w:p>
    <w:p>
      <w:pPr>
        <w:numPr>
          <w:ilvl w:val="2"/>
          <w:numId w:val="1"/>
        </w:numPr>
        <w:tabs>
          <w:tab w:val="left" w:pos="1701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  <w:lang w:eastAsia="ar-SA"/>
        </w:rPr>
      </w:pPr>
      <w:r>
        <w:rPr>
          <w:rFonts w:ascii="PT Astra Serif" w:hAnsi="PT Astra Serif"/>
          <w:sz w:val="28"/>
          <w:szCs w:val="28"/>
          <w:lang w:eastAsia="ar-SA"/>
        </w:rPr>
        <w:t>формирует документацию сектора для передачи в архив для дальнейшего хранения;</w:t>
      </w:r>
    </w:p>
    <w:p>
      <w:pPr>
        <w:numPr>
          <w:ilvl w:val="2"/>
          <w:numId w:val="1"/>
        </w:numPr>
        <w:tabs>
          <w:tab w:val="left" w:pos="1701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  <w:lang w:eastAsia="ar-SA"/>
        </w:rPr>
      </w:pPr>
      <w:r>
        <w:rPr>
          <w:rFonts w:ascii="PT Astra Serif" w:hAnsi="PT Astra Serif"/>
          <w:sz w:val="28"/>
          <w:szCs w:val="28"/>
        </w:rPr>
        <w:t>осуществляет функции по противодействию и профилактике коррупции в пределах полномочий сектора.</w:t>
      </w:r>
    </w:p>
    <w:p>
      <w:pPr>
        <w:spacing w:after="0" w:line="240" w:lineRule="auto"/>
        <w:jc w:val="both"/>
        <w:rPr>
          <w:rFonts w:ascii="PT Astra Serif" w:hAnsi="PT Astra Serif"/>
          <w:sz w:val="28"/>
          <w:szCs w:val="28"/>
        </w:rPr>
      </w:pPr>
    </w:p>
    <w:p>
      <w:pPr>
        <w:numPr>
          <w:ilvl w:val="0"/>
          <w:numId w:val="1"/>
        </w:numPr>
        <w:spacing w:after="0" w:line="240" w:lineRule="auto"/>
        <w:ind w:left="0" w:firstLine="0"/>
        <w:jc w:val="center"/>
        <w:rPr>
          <w:rFonts w:ascii="PT Astra Serif" w:hAnsi="PT Astra Serif"/>
          <w:b/>
          <w:sz w:val="28"/>
          <w:szCs w:val="28"/>
          <w:lang w:val="en-US"/>
        </w:rPr>
      </w:pPr>
      <w:r>
        <w:rPr>
          <w:rFonts w:ascii="PT Astra Serif" w:hAnsi="PT Astra Serif"/>
          <w:b/>
          <w:sz w:val="28"/>
          <w:szCs w:val="28"/>
        </w:rPr>
        <w:t>Права</w:t>
      </w:r>
    </w:p>
    <w:p>
      <w:pPr>
        <w:spacing w:after="0" w:line="240" w:lineRule="auto"/>
        <w:jc w:val="both"/>
        <w:rPr>
          <w:rFonts w:ascii="PT Astra Serif" w:hAnsi="PT Astra Serif"/>
          <w:sz w:val="28"/>
          <w:szCs w:val="28"/>
        </w:rPr>
      </w:pPr>
    </w:p>
    <w:p>
      <w:pPr>
        <w:numPr>
          <w:ilvl w:val="1"/>
          <w:numId w:val="1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Сектор для осуществления своих функций имеет право:</w:t>
      </w:r>
    </w:p>
    <w:p>
      <w:pPr>
        <w:numPr>
          <w:ilvl w:val="2"/>
          <w:numId w:val="1"/>
        </w:numPr>
        <w:tabs>
          <w:tab w:val="left" w:pos="1560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lastRenderedPageBreak/>
        <w:t>разрабатывать проекты правовых актов муниципального округа              по вопросам, относящимся к компетенции сектора;</w:t>
      </w:r>
    </w:p>
    <w:p>
      <w:pPr>
        <w:numPr>
          <w:ilvl w:val="2"/>
          <w:numId w:val="1"/>
        </w:numPr>
        <w:tabs>
          <w:tab w:val="left" w:pos="1560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готовить в пределах своей компетенции проекты приказов начальника Департамента по организации деятельности Департамента                            и подведомственных организаций, в том числе по организации и проведению районных мероприятий с участием воспитанников и педагогов подведомственных организаций, а также контролировать их исполнение;</w:t>
      </w:r>
    </w:p>
    <w:p>
      <w:pPr>
        <w:numPr>
          <w:ilvl w:val="2"/>
          <w:numId w:val="1"/>
        </w:numPr>
        <w:tabs>
          <w:tab w:val="left" w:pos="1560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согласовывать разрешение о приеме детей в подведомственную организацию на обучение по образовательным программам дошкольного образования в более раннем или более позднем возрасте по заявлению родителей (законных представителей) детей;</w:t>
      </w:r>
    </w:p>
    <w:p>
      <w:pPr>
        <w:numPr>
          <w:ilvl w:val="2"/>
          <w:numId w:val="1"/>
        </w:numPr>
        <w:tabs>
          <w:tab w:val="left" w:pos="1701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вносить предложения:</w:t>
      </w:r>
    </w:p>
    <w:p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об отмене постановлений и распоряжений Администрации Тазовского района, противоречащих действующему законодательству Российской Федерации в области образования, или о внесении в них изменений;</w:t>
      </w:r>
    </w:p>
    <w:p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 создании, реорганизации и ликвидации подведомственных организаций;</w:t>
      </w:r>
    </w:p>
    <w:p>
      <w:pPr>
        <w:numPr>
          <w:ilvl w:val="2"/>
          <w:numId w:val="1"/>
        </w:numPr>
        <w:tabs>
          <w:tab w:val="left" w:pos="1560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запрашивать и получать информацию по вопросам, относящимся к компетенции сектора;</w:t>
      </w:r>
    </w:p>
    <w:p>
      <w:pPr>
        <w:numPr>
          <w:ilvl w:val="2"/>
          <w:numId w:val="1"/>
        </w:numPr>
        <w:tabs>
          <w:tab w:val="left" w:pos="1560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принимать участие в рассмотрении, согласовании проектов и программ, разрабатываемых отраслевыми (функциональными) органами, структурными подразделениями Администрации Тазовского района, организациями и учреждениями, по вопросам дошкольного образования;</w:t>
      </w:r>
    </w:p>
    <w:p>
      <w:pPr>
        <w:numPr>
          <w:ilvl w:val="2"/>
          <w:numId w:val="1"/>
        </w:numPr>
        <w:tabs>
          <w:tab w:val="left" w:pos="1560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организовывать и проводить совещания и иные мероприятия по вопросам, входящим в компетенцию сектора;</w:t>
      </w:r>
    </w:p>
    <w:p>
      <w:pPr>
        <w:numPr>
          <w:ilvl w:val="2"/>
          <w:numId w:val="1"/>
        </w:numPr>
        <w:tabs>
          <w:tab w:val="left" w:pos="1560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пользоваться информационными банками данных, имеющимися в Администрации Тазовского района, использовать районные системы связи и коммуникаций;</w:t>
      </w:r>
    </w:p>
    <w:p>
      <w:pPr>
        <w:numPr>
          <w:ilvl w:val="2"/>
          <w:numId w:val="1"/>
        </w:numPr>
        <w:tabs>
          <w:tab w:val="left" w:pos="1560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сектор обладает иными правами в соответствии                                           с муниципальными правовыми актами Администрации Тазовского района.</w:t>
      </w:r>
    </w:p>
    <w:p>
      <w:pPr>
        <w:pStyle w:val="2"/>
        <w:tabs>
          <w:tab w:val="left" w:pos="1560"/>
          <w:tab w:val="left" w:pos="1843"/>
        </w:tabs>
        <w:ind w:left="0"/>
        <w:rPr>
          <w:rFonts w:ascii="PT Astra Serif" w:hAnsi="PT Astra Serif"/>
          <w:szCs w:val="28"/>
        </w:rPr>
      </w:pPr>
    </w:p>
    <w:p>
      <w:pPr>
        <w:pStyle w:val="2"/>
        <w:numPr>
          <w:ilvl w:val="0"/>
          <w:numId w:val="1"/>
        </w:numPr>
        <w:tabs>
          <w:tab w:val="left" w:pos="0"/>
        </w:tabs>
        <w:ind w:left="0" w:firstLine="0"/>
        <w:jc w:val="center"/>
        <w:rPr>
          <w:rFonts w:ascii="PT Astra Serif" w:hAnsi="PT Astra Serif"/>
          <w:b/>
          <w:szCs w:val="28"/>
        </w:rPr>
      </w:pPr>
      <w:r>
        <w:rPr>
          <w:rFonts w:ascii="PT Astra Serif" w:hAnsi="PT Astra Serif"/>
          <w:b/>
          <w:szCs w:val="28"/>
        </w:rPr>
        <w:t xml:space="preserve">Организация деятельности </w:t>
      </w:r>
    </w:p>
    <w:p>
      <w:pPr>
        <w:pStyle w:val="2"/>
        <w:tabs>
          <w:tab w:val="left" w:pos="1560"/>
          <w:tab w:val="left" w:pos="1843"/>
        </w:tabs>
        <w:ind w:left="0"/>
        <w:rPr>
          <w:rFonts w:ascii="PT Astra Serif" w:hAnsi="PT Astra Serif"/>
          <w:szCs w:val="28"/>
        </w:rPr>
      </w:pPr>
    </w:p>
    <w:p>
      <w:pPr>
        <w:numPr>
          <w:ilvl w:val="1"/>
          <w:numId w:val="1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Сектор возглавляет заведующий сектором, который назначается и освобождается от занимаемой должности начальником Департамента.</w:t>
      </w:r>
    </w:p>
    <w:p>
      <w:pPr>
        <w:numPr>
          <w:ilvl w:val="1"/>
          <w:numId w:val="1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В случае отсутствия заведующего сектором (отпуск, командировка, болезнь и др.) его обязанности, установленные настоящим Положением и должностной инструкцией, на основании приказа Департамента исполняет иное лицо из числа работников сектора.</w:t>
      </w:r>
    </w:p>
    <w:p>
      <w:pPr>
        <w:numPr>
          <w:ilvl w:val="1"/>
          <w:numId w:val="1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Заведующий сектором осуществляет руководство деятельностью сектора и находится в подчинении начальника отдела общего, дошкольного, образования управления общего, дошкольного, дополнительного </w:t>
      </w:r>
      <w:r>
        <w:rPr>
          <w:rFonts w:ascii="PT Astra Serif" w:hAnsi="PT Astra Serif"/>
          <w:color w:val="000000"/>
          <w:sz w:val="28"/>
          <w:szCs w:val="28"/>
        </w:rPr>
        <w:t>образования Департамента.</w:t>
      </w:r>
      <w:r>
        <w:rPr>
          <w:rFonts w:ascii="PT Astra Serif" w:hAnsi="PT Astra Serif"/>
          <w:color w:val="FF0000"/>
          <w:sz w:val="28"/>
          <w:szCs w:val="28"/>
        </w:rPr>
        <w:t xml:space="preserve"> </w:t>
      </w:r>
    </w:p>
    <w:p>
      <w:pPr>
        <w:numPr>
          <w:ilvl w:val="1"/>
          <w:numId w:val="1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lastRenderedPageBreak/>
        <w:t>заведующий сектором выполняет следующие полномочия                              по управлению сектором:</w:t>
      </w:r>
    </w:p>
    <w:p>
      <w:pPr>
        <w:numPr>
          <w:ilvl w:val="2"/>
          <w:numId w:val="1"/>
        </w:numPr>
        <w:tabs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обеспечивает организацию работы и руководство деятельностью сектора;</w:t>
      </w:r>
    </w:p>
    <w:p>
      <w:pPr>
        <w:numPr>
          <w:ilvl w:val="2"/>
          <w:numId w:val="1"/>
        </w:numPr>
        <w:tabs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распределяет обязанности между работниками сектора;</w:t>
      </w:r>
    </w:p>
    <w:p>
      <w:pPr>
        <w:numPr>
          <w:ilvl w:val="2"/>
          <w:numId w:val="1"/>
        </w:numPr>
        <w:tabs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осуществляет координацию работы работников сектора                              в выполнении возложенных на них функций;</w:t>
      </w:r>
    </w:p>
    <w:p>
      <w:pPr>
        <w:numPr>
          <w:ilvl w:val="2"/>
          <w:numId w:val="1"/>
        </w:numPr>
        <w:tabs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отвечает за организацию и состояние делопроизводства сектора;</w:t>
      </w:r>
    </w:p>
    <w:p>
      <w:pPr>
        <w:numPr>
          <w:ilvl w:val="2"/>
          <w:numId w:val="1"/>
        </w:numPr>
        <w:tabs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подписывает документы в соответствии с компетенцией сектора;</w:t>
      </w:r>
    </w:p>
    <w:p>
      <w:pPr>
        <w:numPr>
          <w:ilvl w:val="2"/>
          <w:numId w:val="1"/>
        </w:numPr>
        <w:tabs>
          <w:tab w:val="left" w:pos="156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осуществляет иные обязанности, предусмотренные нормативными правовыми актами Российской Федерации, нормативными правовыми актами автономного округа, муниципального округа, должностной инструкцией.</w:t>
      </w:r>
    </w:p>
    <w:p>
      <w:pPr>
        <w:spacing w:after="0" w:line="240" w:lineRule="auto"/>
        <w:rPr>
          <w:rFonts w:ascii="PT Astra Serif" w:hAnsi="PT Astra Serif"/>
          <w:sz w:val="28"/>
          <w:szCs w:val="28"/>
        </w:rPr>
      </w:pPr>
    </w:p>
    <w:p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0"/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 xml:space="preserve">Прекращение деятельности </w:t>
      </w:r>
    </w:p>
    <w:p>
      <w:pPr>
        <w:spacing w:after="0" w:line="240" w:lineRule="auto"/>
        <w:jc w:val="both"/>
        <w:rPr>
          <w:rFonts w:ascii="PT Astra Serif" w:hAnsi="PT Astra Serif"/>
          <w:sz w:val="28"/>
          <w:szCs w:val="28"/>
        </w:rPr>
      </w:pPr>
    </w:p>
    <w:p>
      <w:pPr>
        <w:spacing w:after="0" w:line="240" w:lineRule="auto"/>
        <w:ind w:firstLine="720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Прекращение деятельности сектора осуществляется по решению                        Главы Тазовского района в порядке, установленном законодательством Российской Федерации.</w:t>
      </w:r>
    </w:p>
    <w:p>
      <w:pPr>
        <w:spacing w:after="0" w:line="240" w:lineRule="auto"/>
        <w:rPr>
          <w:rFonts w:ascii="PT Astra Serif" w:hAnsi="PT Astra Serif"/>
          <w:sz w:val="28"/>
          <w:szCs w:val="28"/>
        </w:rPr>
      </w:pPr>
    </w:p>
    <w:sectPr>
      <w:headerReference w:type="default" r:id="rId7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23078619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</w:rPr>
    </w:sdtEndPr>
    <w:sdtContent>
      <w:p>
        <w:pPr>
          <w:pStyle w:val="a3"/>
          <w:jc w:val="center"/>
          <w:rPr>
            <w:rFonts w:ascii="PT Astra Serif" w:hAnsi="PT Astra Serif"/>
            <w:sz w:val="24"/>
          </w:rPr>
        </w:pPr>
        <w:r>
          <w:rPr>
            <w:rFonts w:ascii="PT Astra Serif" w:hAnsi="PT Astra Serif"/>
            <w:sz w:val="24"/>
          </w:rPr>
          <w:fldChar w:fldCharType="begin"/>
        </w:r>
        <w:r>
          <w:rPr>
            <w:rFonts w:ascii="PT Astra Serif" w:hAnsi="PT Astra Serif"/>
            <w:sz w:val="24"/>
          </w:rPr>
          <w:instrText>PAGE   \* MERGEFORMAT</w:instrText>
        </w:r>
        <w:r>
          <w:rPr>
            <w:rFonts w:ascii="PT Astra Serif" w:hAnsi="PT Astra Serif"/>
            <w:sz w:val="24"/>
          </w:rPr>
          <w:fldChar w:fldCharType="separate"/>
        </w:r>
        <w:r>
          <w:rPr>
            <w:rFonts w:ascii="PT Astra Serif" w:hAnsi="PT Astra Serif"/>
            <w:noProof/>
            <w:sz w:val="24"/>
          </w:rPr>
          <w:t>3</w:t>
        </w:r>
        <w:r>
          <w:rPr>
            <w:rFonts w:ascii="PT Astra Serif" w:hAnsi="PT Astra Serif"/>
            <w:sz w:val="24"/>
          </w:rPr>
          <w:fldChar w:fldCharType="end"/>
        </w:r>
      </w:p>
    </w:sdtContent>
  </w:sdt>
  <w:p>
    <w:pPr>
      <w:pStyle w:val="a3"/>
      <w:rPr>
        <w:rFonts w:ascii="PT Astra Serif" w:hAnsi="PT Astra Serif"/>
        <w:sz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FD3AA2"/>
    <w:multiLevelType w:val="hybridMultilevel"/>
    <w:tmpl w:val="1A56BB6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FF73EC"/>
    <w:multiLevelType w:val="hybridMultilevel"/>
    <w:tmpl w:val="0354246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463A98"/>
    <w:multiLevelType w:val="hybridMultilevel"/>
    <w:tmpl w:val="4B5687D8"/>
    <w:lvl w:ilvl="0" w:tplc="7D8AA94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5295CB9"/>
    <w:multiLevelType w:val="hybridMultilevel"/>
    <w:tmpl w:val="BB10F97A"/>
    <w:lvl w:ilvl="0" w:tplc="7D8AA94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3CC47611"/>
    <w:multiLevelType w:val="hybridMultilevel"/>
    <w:tmpl w:val="895C0D6E"/>
    <w:lvl w:ilvl="0" w:tplc="7D8AA94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554511C2"/>
    <w:multiLevelType w:val="hybridMultilevel"/>
    <w:tmpl w:val="E550E7D4"/>
    <w:lvl w:ilvl="0" w:tplc="7D8AA94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607A675D"/>
    <w:multiLevelType w:val="hybridMultilevel"/>
    <w:tmpl w:val="4984B74A"/>
    <w:lvl w:ilvl="0" w:tplc="7D8AA94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621F1301"/>
    <w:multiLevelType w:val="hybridMultilevel"/>
    <w:tmpl w:val="996C32B4"/>
    <w:lvl w:ilvl="0" w:tplc="7D8AA94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76C37A6D"/>
    <w:multiLevelType w:val="multilevel"/>
    <w:tmpl w:val="1FE26D08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8"/>
  </w:num>
  <w:num w:numId="2">
    <w:abstractNumId w:val="6"/>
  </w:num>
  <w:num w:numId="3">
    <w:abstractNumId w:val="7"/>
  </w:num>
  <w:num w:numId="4">
    <w:abstractNumId w:val="4"/>
  </w:num>
  <w:num w:numId="5">
    <w:abstractNumId w:val="2"/>
  </w:num>
  <w:num w:numId="6">
    <w:abstractNumId w:val="3"/>
  </w:num>
  <w:num w:numId="7">
    <w:abstractNumId w:val="5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5E00950-DAD2-4BCE-8276-D8BB5764FF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pPr>
      <w:spacing w:after="0" w:line="240" w:lineRule="auto"/>
      <w:ind w:left="180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20">
    <w:name w:val="Основной текст с отступом 2 Знак"/>
    <w:basedOn w:val="a0"/>
    <w:link w:val="2"/>
    <w:rPr>
      <w:rFonts w:ascii="Times New Roman" w:eastAsia="Times New Roman" w:hAnsi="Times New Roman" w:cs="Times New Roman"/>
      <w:sz w:val="28"/>
      <w:szCs w:val="20"/>
    </w:rPr>
  </w:style>
  <w:style w:type="paragraph" w:styleId="a3">
    <w:name w:val="header"/>
    <w:basedOn w:val="a"/>
    <w:link w:val="a4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</w:style>
  <w:style w:type="paragraph" w:styleId="a5">
    <w:name w:val="footer"/>
    <w:basedOn w:val="a"/>
    <w:link w:val="a6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</w:style>
  <w:style w:type="paragraph" w:styleId="a7">
    <w:name w:val="Balloon Text"/>
    <w:basedOn w:val="a"/>
    <w:link w:val="a8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6</Pages>
  <Words>1799</Words>
  <Characters>10257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В. Гужова</dc:creator>
  <cp:keywords/>
  <dc:description/>
  <cp:lastModifiedBy>Фадеева Алена Михайловна</cp:lastModifiedBy>
  <cp:revision>11</cp:revision>
  <cp:lastPrinted>2021-02-12T05:44:00Z</cp:lastPrinted>
  <dcterms:created xsi:type="dcterms:W3CDTF">2021-01-28T10:58:00Z</dcterms:created>
  <dcterms:modified xsi:type="dcterms:W3CDTF">2021-02-12T05:44:00Z</dcterms:modified>
</cp:coreProperties>
</file>